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before="0" w:beforeAutospacing="0" w:after="375" w:afterAutospacing="0" w:line="600" w:lineRule="atLeast"/>
        <w:ind w:left="0" w:firstLine="0"/>
        <w:jc w:val="left"/>
        <w:rPr>
          <w:rFonts w:ascii="微软雅黑" w:hAnsi="微软雅黑" w:eastAsia="微软雅黑" w:cs="微软雅黑"/>
          <w:i w:val="0"/>
          <w:caps w:val="0"/>
          <w:color w:val="000000"/>
          <w:spacing w:val="0"/>
          <w:sz w:val="45"/>
          <w:szCs w:val="4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kern w:val="0"/>
          <w:sz w:val="45"/>
          <w:szCs w:val="45"/>
          <w:lang w:val="en-US" w:eastAsia="zh-CN" w:bidi="ar"/>
        </w:rPr>
        <w:br w:type="textWrapping"/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kern w:val="0"/>
          <w:sz w:val="45"/>
          <w:szCs w:val="45"/>
          <w:lang w:val="en-US" w:eastAsia="zh-CN" w:bidi="ar"/>
        </w:rPr>
        <w:t>ieee/acm transaction和ccf A类论文   </w:t>
      </w:r>
    </w:p>
    <w:tbl>
      <w:tblPr>
        <w:tblW w:w="8303" w:type="dxa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5"/>
        <w:gridCol w:w="1712"/>
        <w:gridCol w:w="973"/>
        <w:gridCol w:w="2784"/>
        <w:gridCol w:w="637"/>
        <w:gridCol w:w="783"/>
        <w:gridCol w:w="919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4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150" w:afterAutospacing="0" w:line="375" w:lineRule="atLeast"/>
              <w:ind w:left="0" w:right="0" w:firstLine="420"/>
              <w:jc w:val="center"/>
              <w:rPr>
                <w:sz w:val="21"/>
                <w:szCs w:val="21"/>
              </w:rPr>
            </w:pPr>
            <w:r>
              <w:rPr>
                <w:rStyle w:val="4"/>
                <w:sz w:val="15"/>
                <w:szCs w:val="15"/>
                <w:bdr w:val="none" w:color="auto" w:sz="0" w:space="0"/>
              </w:rPr>
              <w:t>申报教师</w:t>
            </w:r>
          </w:p>
        </w:tc>
        <w:tc>
          <w:tcPr>
            <w:tcW w:w="1712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375" w:lineRule="atLeast"/>
              <w:ind w:left="0" w:right="0" w:firstLine="420"/>
              <w:jc w:val="center"/>
              <w:rPr>
                <w:sz w:val="21"/>
                <w:szCs w:val="21"/>
              </w:rPr>
            </w:pPr>
            <w:r>
              <w:rPr>
                <w:rStyle w:val="4"/>
                <w:sz w:val="15"/>
                <w:szCs w:val="15"/>
                <w:bdr w:val="none" w:color="auto" w:sz="0" w:space="0"/>
              </w:rPr>
              <w:t>论文名称</w:t>
            </w:r>
          </w:p>
        </w:tc>
        <w:tc>
          <w:tcPr>
            <w:tcW w:w="973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375" w:lineRule="atLeast"/>
              <w:ind w:left="0" w:right="0" w:firstLine="420"/>
              <w:jc w:val="center"/>
              <w:rPr>
                <w:sz w:val="21"/>
                <w:szCs w:val="21"/>
              </w:rPr>
            </w:pPr>
            <w:r>
              <w:rPr>
                <w:rStyle w:val="4"/>
                <w:sz w:val="15"/>
                <w:szCs w:val="15"/>
                <w:bdr w:val="none" w:color="auto" w:sz="0" w:space="0"/>
              </w:rPr>
              <w:t>论文作者</w:t>
            </w:r>
          </w:p>
        </w:tc>
        <w:tc>
          <w:tcPr>
            <w:tcW w:w="2784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375" w:lineRule="atLeast"/>
              <w:ind w:left="0" w:right="0" w:firstLine="420"/>
              <w:jc w:val="center"/>
              <w:rPr>
                <w:sz w:val="21"/>
                <w:szCs w:val="21"/>
              </w:rPr>
            </w:pPr>
            <w:r>
              <w:rPr>
                <w:rStyle w:val="4"/>
                <w:sz w:val="15"/>
                <w:szCs w:val="15"/>
                <w:bdr w:val="none" w:color="auto" w:sz="0" w:space="0"/>
              </w:rPr>
              <w:t>期刊</w:t>
            </w:r>
          </w:p>
        </w:tc>
        <w:tc>
          <w:tcPr>
            <w:tcW w:w="63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375" w:lineRule="atLeast"/>
              <w:ind w:left="0" w:right="0" w:firstLine="420"/>
              <w:jc w:val="center"/>
              <w:rPr>
                <w:sz w:val="21"/>
                <w:szCs w:val="21"/>
              </w:rPr>
            </w:pPr>
            <w:r>
              <w:rPr>
                <w:rStyle w:val="4"/>
                <w:sz w:val="15"/>
                <w:szCs w:val="15"/>
                <w:bdr w:val="none" w:color="auto" w:sz="0" w:space="0"/>
              </w:rPr>
              <w:t>卷号</w:t>
            </w:r>
          </w:p>
        </w:tc>
        <w:tc>
          <w:tcPr>
            <w:tcW w:w="783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150" w:afterAutospacing="0" w:line="375" w:lineRule="atLeast"/>
              <w:ind w:left="0" w:right="0" w:firstLine="420"/>
              <w:jc w:val="center"/>
              <w:rPr>
                <w:sz w:val="21"/>
                <w:szCs w:val="21"/>
              </w:rPr>
            </w:pPr>
            <w:r>
              <w:rPr>
                <w:rStyle w:val="4"/>
                <w:sz w:val="15"/>
                <w:szCs w:val="15"/>
                <w:bdr w:val="none" w:color="auto" w:sz="0" w:space="0"/>
              </w:rPr>
              <w:t>发表日期</w:t>
            </w:r>
          </w:p>
        </w:tc>
        <w:tc>
          <w:tcPr>
            <w:tcW w:w="919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375" w:lineRule="atLeast"/>
              <w:ind w:left="0" w:right="0" w:firstLine="420"/>
              <w:jc w:val="center"/>
              <w:rPr>
                <w:sz w:val="21"/>
                <w:szCs w:val="21"/>
              </w:rPr>
            </w:pPr>
            <w:r>
              <w:rPr>
                <w:rStyle w:val="4"/>
                <w:sz w:val="15"/>
                <w:szCs w:val="15"/>
                <w:bdr w:val="none" w:color="auto" w:sz="0" w:space="0"/>
              </w:rPr>
              <w:t>页码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49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375" w:lineRule="atLeast"/>
              <w:ind w:left="0" w:right="0" w:firstLine="420"/>
              <w:jc w:val="center"/>
              <w:rPr>
                <w:sz w:val="21"/>
                <w:szCs w:val="21"/>
              </w:rPr>
            </w:pPr>
            <w:r>
              <w:rPr>
                <w:sz w:val="15"/>
                <w:szCs w:val="15"/>
                <w:bdr w:val="none" w:color="auto" w:sz="0" w:space="0"/>
              </w:rPr>
              <w:t>林亚平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375" w:lineRule="atLeast"/>
              <w:ind w:left="0" w:right="0" w:firstLine="420"/>
              <w:jc w:val="center"/>
              <w:rPr>
                <w:sz w:val="21"/>
                <w:szCs w:val="21"/>
              </w:rPr>
            </w:pPr>
            <w:r>
              <w:rPr>
                <w:sz w:val="15"/>
                <w:szCs w:val="15"/>
                <w:bdr w:val="none" w:color="auto" w:sz="0" w:space="0"/>
              </w:rPr>
              <w:t>Weighing  Fusion Method for Truck Scales Based on Prior Knowledge and Neural Network  Ensembles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375" w:lineRule="atLeast"/>
              <w:ind w:left="0" w:right="0" w:firstLine="420"/>
              <w:jc w:val="center"/>
              <w:rPr>
                <w:sz w:val="21"/>
                <w:szCs w:val="21"/>
              </w:rPr>
            </w:pPr>
            <w:r>
              <w:rPr>
                <w:sz w:val="15"/>
                <w:szCs w:val="15"/>
                <w:bdr w:val="none" w:color="auto" w:sz="0" w:space="0"/>
              </w:rPr>
              <w:t>Haijun  Lin; Yaping Lin ; Jingrong Yu ; Zhaosheng Teng ; Lucai Wang</w:t>
            </w:r>
          </w:p>
        </w:tc>
        <w:tc>
          <w:tcPr>
            <w:tcW w:w="27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375" w:lineRule="atLeast"/>
              <w:ind w:left="0" w:right="0" w:firstLine="420"/>
              <w:jc w:val="center"/>
              <w:rPr>
                <w:sz w:val="21"/>
                <w:szCs w:val="21"/>
              </w:rPr>
            </w:pPr>
            <w:r>
              <w:rPr>
                <w:sz w:val="15"/>
                <w:szCs w:val="15"/>
                <w:bdr w:val="none" w:color="auto" w:sz="0" w:space="0"/>
              </w:rPr>
              <w:t>IEEE  Transactions on Instrumentation and Measurement</w:t>
            </w:r>
          </w:p>
        </w:tc>
        <w:tc>
          <w:tcPr>
            <w:tcW w:w="63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375" w:lineRule="atLeast"/>
              <w:ind w:left="0" w:right="0" w:firstLine="420"/>
              <w:jc w:val="center"/>
              <w:rPr>
                <w:sz w:val="21"/>
                <w:szCs w:val="21"/>
              </w:rPr>
            </w:pPr>
            <w:r>
              <w:rPr>
                <w:sz w:val="15"/>
                <w:szCs w:val="15"/>
                <w:bdr w:val="none" w:color="auto" w:sz="0" w:space="0"/>
              </w:rPr>
              <w:t>63</w:t>
            </w:r>
          </w:p>
        </w:tc>
        <w:tc>
          <w:tcPr>
            <w:tcW w:w="78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375" w:lineRule="atLeast"/>
              <w:ind w:left="0" w:right="0" w:firstLine="420"/>
              <w:jc w:val="center"/>
              <w:rPr>
                <w:sz w:val="21"/>
                <w:szCs w:val="21"/>
              </w:rPr>
            </w:pPr>
            <w:r>
              <w:rPr>
                <w:sz w:val="15"/>
                <w:szCs w:val="15"/>
                <w:bdr w:val="none" w:color="auto" w:sz="0" w:space="0"/>
              </w:rPr>
              <w:t>2014,2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375" w:lineRule="atLeast"/>
              <w:ind w:left="0" w:right="0" w:firstLine="420"/>
              <w:jc w:val="center"/>
              <w:rPr>
                <w:sz w:val="21"/>
                <w:szCs w:val="21"/>
              </w:rPr>
            </w:pPr>
            <w:r>
              <w:rPr>
                <w:sz w:val="15"/>
                <w:szCs w:val="15"/>
                <w:bdr w:val="none" w:color="auto" w:sz="0" w:space="0"/>
              </w:rPr>
              <w:t>205-259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0" w:hRule="atLeast"/>
        </w:trPr>
        <w:tc>
          <w:tcPr>
            <w:tcW w:w="49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375" w:lineRule="atLeast"/>
              <w:ind w:left="0" w:right="0" w:firstLine="420"/>
              <w:jc w:val="center"/>
              <w:rPr>
                <w:sz w:val="21"/>
                <w:szCs w:val="21"/>
              </w:rPr>
            </w:pPr>
            <w:r>
              <w:rPr>
                <w:sz w:val="15"/>
                <w:szCs w:val="15"/>
                <w:bdr w:val="none" w:color="auto" w:sz="0" w:space="0"/>
              </w:rPr>
              <w:t>李睿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375" w:lineRule="atLeast"/>
              <w:ind w:left="0" w:right="0" w:firstLine="420"/>
              <w:jc w:val="center"/>
              <w:rPr>
                <w:sz w:val="21"/>
                <w:szCs w:val="21"/>
              </w:rPr>
            </w:pPr>
            <w:r>
              <w:rPr>
                <w:sz w:val="15"/>
                <w:szCs w:val="15"/>
                <w:bdr w:val="none" w:color="auto" w:sz="0" w:space="0"/>
              </w:rPr>
              <w:t>Fast  Range Query Processing with Strong Privacy for Cloud Computing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375" w:lineRule="atLeast"/>
              <w:ind w:left="0" w:right="0" w:firstLine="420"/>
              <w:jc w:val="center"/>
              <w:rPr>
                <w:sz w:val="21"/>
                <w:szCs w:val="21"/>
              </w:rPr>
            </w:pPr>
            <w:r>
              <w:rPr>
                <w:sz w:val="15"/>
                <w:szCs w:val="15"/>
                <w:bdr w:val="none" w:color="auto" w:sz="0" w:space="0"/>
              </w:rPr>
              <w:t>Rui  Li, Alex X.Liu, Liyan Wang, Bezawada Bruhadeshwar</w:t>
            </w:r>
          </w:p>
        </w:tc>
        <w:tc>
          <w:tcPr>
            <w:tcW w:w="27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375" w:lineRule="atLeast"/>
              <w:ind w:left="0" w:right="0" w:firstLine="420"/>
              <w:jc w:val="center"/>
              <w:rPr>
                <w:sz w:val="21"/>
                <w:szCs w:val="21"/>
              </w:rPr>
            </w:pPr>
            <w:r>
              <w:rPr>
                <w:sz w:val="15"/>
                <w:szCs w:val="15"/>
                <w:bdr w:val="none" w:color="auto" w:sz="0" w:space="0"/>
              </w:rPr>
              <w:t>the  40th International Conference on Very Large Databases(VLDB)</w:t>
            </w:r>
          </w:p>
        </w:tc>
        <w:tc>
          <w:tcPr>
            <w:tcW w:w="63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78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375" w:lineRule="atLeast"/>
              <w:ind w:left="0" w:right="0" w:firstLine="420"/>
              <w:jc w:val="center"/>
              <w:rPr>
                <w:sz w:val="21"/>
                <w:szCs w:val="21"/>
              </w:rPr>
            </w:pPr>
            <w:r>
              <w:rPr>
                <w:sz w:val="15"/>
                <w:szCs w:val="15"/>
                <w:bdr w:val="none" w:color="auto" w:sz="0" w:space="0"/>
              </w:rPr>
              <w:t>2014,9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375" w:lineRule="atLeast"/>
              <w:ind w:left="0" w:right="0" w:firstLine="420"/>
              <w:jc w:val="center"/>
              <w:rPr>
                <w:sz w:val="21"/>
                <w:szCs w:val="21"/>
              </w:rPr>
            </w:pPr>
            <w:r>
              <w:rPr>
                <w:sz w:val="15"/>
                <w:szCs w:val="15"/>
                <w:bdr w:val="none" w:color="auto" w:sz="0" w:space="0"/>
              </w:rPr>
              <w:t>1953-1964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0" w:hRule="atLeast"/>
        </w:trPr>
        <w:tc>
          <w:tcPr>
            <w:tcW w:w="49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375" w:lineRule="atLeast"/>
              <w:ind w:left="0" w:right="0" w:firstLine="420"/>
              <w:jc w:val="center"/>
              <w:rPr>
                <w:sz w:val="21"/>
                <w:szCs w:val="21"/>
              </w:rPr>
            </w:pPr>
            <w:r>
              <w:rPr>
                <w:sz w:val="15"/>
                <w:szCs w:val="15"/>
                <w:bdr w:val="none" w:color="auto" w:sz="0" w:space="0"/>
              </w:rPr>
              <w:t>陈浩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375" w:lineRule="atLeast"/>
              <w:ind w:left="0" w:right="0" w:firstLine="420"/>
              <w:jc w:val="center"/>
              <w:rPr>
                <w:sz w:val="21"/>
                <w:szCs w:val="21"/>
              </w:rPr>
            </w:pPr>
            <w:r>
              <w:rPr>
                <w:sz w:val="15"/>
                <w:szCs w:val="15"/>
                <w:bdr w:val="none" w:color="auto" w:sz="0" w:space="0"/>
              </w:rPr>
              <w:t>BAG:  Managing GPU as Buffer Cache in Operating Systems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375" w:lineRule="atLeast"/>
              <w:ind w:left="0" w:right="0" w:firstLine="420"/>
              <w:jc w:val="center"/>
              <w:rPr>
                <w:sz w:val="21"/>
                <w:szCs w:val="21"/>
              </w:rPr>
            </w:pPr>
            <w:r>
              <w:rPr>
                <w:sz w:val="15"/>
                <w:szCs w:val="15"/>
                <w:bdr w:val="none" w:color="auto" w:sz="0" w:space="0"/>
              </w:rPr>
              <w:t>Hao  Chen, Jianhua Sun, Ligang He, Kenli Li, and Huailiang Tan</w:t>
            </w:r>
          </w:p>
        </w:tc>
        <w:tc>
          <w:tcPr>
            <w:tcW w:w="27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375" w:lineRule="atLeast"/>
              <w:ind w:left="0" w:right="0" w:firstLine="420"/>
              <w:jc w:val="center"/>
              <w:rPr>
                <w:sz w:val="21"/>
                <w:szCs w:val="21"/>
              </w:rPr>
            </w:pPr>
            <w:r>
              <w:rPr>
                <w:sz w:val="15"/>
                <w:szCs w:val="15"/>
                <w:bdr w:val="none" w:color="auto" w:sz="0" w:space="0"/>
              </w:rPr>
              <w:t>IEEE  Transactions on Parallel and Distributed Systems (TPDS)</w:t>
            </w:r>
          </w:p>
        </w:tc>
        <w:tc>
          <w:tcPr>
            <w:tcW w:w="63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375" w:lineRule="atLeast"/>
              <w:ind w:left="0" w:right="0" w:firstLine="420"/>
              <w:jc w:val="center"/>
              <w:rPr>
                <w:sz w:val="21"/>
                <w:szCs w:val="21"/>
              </w:rPr>
            </w:pPr>
            <w:r>
              <w:rPr>
                <w:sz w:val="15"/>
                <w:szCs w:val="15"/>
                <w:bdr w:val="none" w:color="auto" w:sz="0" w:space="0"/>
              </w:rPr>
              <w:t>25(6)</w:t>
            </w:r>
          </w:p>
        </w:tc>
        <w:tc>
          <w:tcPr>
            <w:tcW w:w="78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375" w:lineRule="atLeast"/>
              <w:ind w:left="0" w:right="0" w:firstLine="420"/>
              <w:jc w:val="center"/>
              <w:rPr>
                <w:sz w:val="21"/>
                <w:szCs w:val="21"/>
              </w:rPr>
            </w:pPr>
            <w:r>
              <w:rPr>
                <w:sz w:val="15"/>
                <w:szCs w:val="15"/>
                <w:bdr w:val="none" w:color="auto" w:sz="0" w:space="0"/>
              </w:rPr>
              <w:t>2014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375" w:lineRule="atLeast"/>
              <w:ind w:left="0" w:right="0" w:firstLine="420"/>
              <w:jc w:val="center"/>
              <w:rPr>
                <w:sz w:val="21"/>
                <w:szCs w:val="21"/>
              </w:rPr>
            </w:pPr>
            <w:r>
              <w:rPr>
                <w:sz w:val="15"/>
                <w:szCs w:val="15"/>
                <w:bdr w:val="none" w:color="auto" w:sz="0" w:space="0"/>
              </w:rPr>
              <w:t>1393-1402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0" w:hRule="atLeast"/>
        </w:trPr>
        <w:tc>
          <w:tcPr>
            <w:tcW w:w="49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375" w:lineRule="atLeast"/>
              <w:ind w:left="0" w:right="0" w:firstLine="420"/>
              <w:jc w:val="center"/>
              <w:rPr>
                <w:sz w:val="21"/>
                <w:szCs w:val="21"/>
              </w:rPr>
            </w:pPr>
            <w:r>
              <w:rPr>
                <w:sz w:val="15"/>
                <w:szCs w:val="15"/>
                <w:bdr w:val="none" w:color="auto" w:sz="0" w:space="0"/>
              </w:rPr>
              <w:t>陈浩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375" w:lineRule="atLeast"/>
              <w:ind w:left="0" w:right="0" w:firstLine="420"/>
              <w:jc w:val="center"/>
              <w:rPr>
                <w:sz w:val="21"/>
                <w:szCs w:val="21"/>
              </w:rPr>
            </w:pPr>
            <w:r>
              <w:rPr>
                <w:sz w:val="15"/>
                <w:szCs w:val="15"/>
                <w:bdr w:val="none" w:color="auto" w:sz="0" w:space="0"/>
              </w:rPr>
              <w:t>A  Fast RPC system for Virtual Machines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375" w:lineRule="atLeast"/>
              <w:ind w:left="0" w:right="0" w:firstLine="420"/>
              <w:jc w:val="center"/>
              <w:rPr>
                <w:sz w:val="21"/>
                <w:szCs w:val="21"/>
              </w:rPr>
            </w:pPr>
            <w:r>
              <w:rPr>
                <w:sz w:val="15"/>
                <w:szCs w:val="15"/>
                <w:bdr w:val="none" w:color="auto" w:sz="0" w:space="0"/>
              </w:rPr>
              <w:t>Hao  Chen, Lin Shi, Jianhua Sun, Kenli Li, Ligang He</w:t>
            </w:r>
          </w:p>
        </w:tc>
        <w:tc>
          <w:tcPr>
            <w:tcW w:w="27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375" w:lineRule="atLeast"/>
              <w:ind w:left="0" w:right="0" w:firstLine="420"/>
              <w:jc w:val="center"/>
              <w:rPr>
                <w:sz w:val="21"/>
                <w:szCs w:val="21"/>
              </w:rPr>
            </w:pPr>
            <w:r>
              <w:rPr>
                <w:sz w:val="15"/>
                <w:szCs w:val="15"/>
                <w:bdr w:val="none" w:color="auto" w:sz="0" w:space="0"/>
              </w:rPr>
              <w:t>IEEE  Transactions on Parallel and Distributed Systems (TPDS)</w:t>
            </w:r>
          </w:p>
        </w:tc>
        <w:tc>
          <w:tcPr>
            <w:tcW w:w="63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375" w:lineRule="atLeast"/>
              <w:ind w:left="0" w:right="0" w:firstLine="420"/>
              <w:jc w:val="center"/>
              <w:rPr>
                <w:sz w:val="21"/>
                <w:szCs w:val="21"/>
              </w:rPr>
            </w:pPr>
            <w:r>
              <w:rPr>
                <w:sz w:val="15"/>
                <w:szCs w:val="15"/>
                <w:bdr w:val="none" w:color="auto" w:sz="0" w:space="0"/>
              </w:rPr>
              <w:t>24(7)</w:t>
            </w:r>
          </w:p>
        </w:tc>
        <w:tc>
          <w:tcPr>
            <w:tcW w:w="78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375" w:lineRule="atLeast"/>
              <w:ind w:left="0" w:right="0" w:firstLine="420"/>
              <w:jc w:val="center"/>
              <w:rPr>
                <w:sz w:val="21"/>
                <w:szCs w:val="21"/>
              </w:rPr>
            </w:pPr>
            <w:r>
              <w:rPr>
                <w:sz w:val="15"/>
                <w:szCs w:val="15"/>
                <w:bdr w:val="none" w:color="auto" w:sz="0" w:space="0"/>
              </w:rPr>
              <w:t>2013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375" w:lineRule="atLeast"/>
              <w:ind w:left="0" w:right="0" w:firstLine="420"/>
              <w:jc w:val="center"/>
              <w:rPr>
                <w:sz w:val="21"/>
                <w:szCs w:val="21"/>
              </w:rPr>
            </w:pPr>
            <w:r>
              <w:rPr>
                <w:sz w:val="15"/>
                <w:szCs w:val="15"/>
                <w:bdr w:val="none" w:color="auto" w:sz="0" w:space="0"/>
              </w:rPr>
              <w:t>1267-1276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49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375" w:lineRule="atLeast"/>
              <w:ind w:left="0" w:right="0" w:firstLine="420"/>
              <w:jc w:val="center"/>
              <w:rPr>
                <w:sz w:val="21"/>
                <w:szCs w:val="21"/>
              </w:rPr>
            </w:pPr>
            <w:r>
              <w:rPr>
                <w:sz w:val="15"/>
                <w:szCs w:val="15"/>
                <w:bdr w:val="none" w:color="auto" w:sz="0" w:space="0"/>
              </w:rPr>
              <w:t>陈浩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375" w:lineRule="atLeast"/>
              <w:ind w:left="0" w:right="0" w:firstLine="420"/>
              <w:jc w:val="center"/>
              <w:rPr>
                <w:sz w:val="21"/>
                <w:szCs w:val="21"/>
              </w:rPr>
            </w:pPr>
            <w:r>
              <w:rPr>
                <w:sz w:val="15"/>
                <w:szCs w:val="15"/>
                <w:bdr w:val="none" w:color="auto" w:sz="0" w:space="0"/>
              </w:rPr>
              <w:t>vCUDA:  GPU-accelerated High-performance Computing in Virtual Machines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375" w:lineRule="atLeast"/>
              <w:ind w:left="0" w:right="0" w:firstLine="420"/>
              <w:jc w:val="center"/>
              <w:rPr>
                <w:sz w:val="21"/>
                <w:szCs w:val="21"/>
              </w:rPr>
            </w:pPr>
            <w:r>
              <w:rPr>
                <w:sz w:val="15"/>
                <w:szCs w:val="15"/>
                <w:bdr w:val="none" w:color="auto" w:sz="0" w:space="0"/>
              </w:rPr>
              <w:t>Lin  Shi, Hao Chen, Jianhua Sun, and Kenli Li</w:t>
            </w:r>
          </w:p>
        </w:tc>
        <w:tc>
          <w:tcPr>
            <w:tcW w:w="27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375" w:lineRule="atLeast"/>
              <w:ind w:left="0" w:right="0" w:firstLine="420"/>
              <w:jc w:val="center"/>
              <w:rPr>
                <w:sz w:val="21"/>
                <w:szCs w:val="21"/>
              </w:rPr>
            </w:pPr>
            <w:r>
              <w:rPr>
                <w:sz w:val="15"/>
                <w:szCs w:val="15"/>
                <w:bdr w:val="none" w:color="auto" w:sz="0" w:space="0"/>
              </w:rPr>
              <w:t>IEEE  Transactions on Computers (ToC)</w:t>
            </w:r>
          </w:p>
        </w:tc>
        <w:tc>
          <w:tcPr>
            <w:tcW w:w="63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375" w:lineRule="atLeast"/>
              <w:ind w:left="0" w:right="0" w:firstLine="420"/>
              <w:jc w:val="center"/>
              <w:rPr>
                <w:sz w:val="21"/>
                <w:szCs w:val="21"/>
              </w:rPr>
            </w:pPr>
            <w:r>
              <w:rPr>
                <w:sz w:val="15"/>
                <w:szCs w:val="15"/>
                <w:bdr w:val="none" w:color="auto" w:sz="0" w:space="0"/>
              </w:rPr>
              <w:t>61(6)</w:t>
            </w:r>
          </w:p>
        </w:tc>
        <w:tc>
          <w:tcPr>
            <w:tcW w:w="78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375" w:lineRule="atLeast"/>
              <w:ind w:left="0" w:right="0" w:firstLine="420"/>
              <w:jc w:val="center"/>
              <w:rPr>
                <w:sz w:val="21"/>
                <w:szCs w:val="21"/>
              </w:rPr>
            </w:pPr>
            <w:r>
              <w:rPr>
                <w:sz w:val="15"/>
                <w:szCs w:val="15"/>
                <w:bdr w:val="none" w:color="auto" w:sz="0" w:space="0"/>
              </w:rPr>
              <w:t>2012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375" w:lineRule="atLeast"/>
              <w:ind w:left="0" w:right="0" w:firstLine="420"/>
              <w:jc w:val="center"/>
              <w:rPr>
                <w:sz w:val="21"/>
                <w:szCs w:val="21"/>
              </w:rPr>
            </w:pPr>
            <w:r>
              <w:rPr>
                <w:sz w:val="15"/>
                <w:szCs w:val="15"/>
                <w:bdr w:val="none" w:color="auto" w:sz="0" w:space="0"/>
              </w:rPr>
              <w:t>804-816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49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375" w:lineRule="atLeast"/>
              <w:ind w:left="0" w:right="0" w:firstLine="420"/>
              <w:jc w:val="center"/>
              <w:rPr>
                <w:sz w:val="21"/>
                <w:szCs w:val="21"/>
              </w:rPr>
            </w:pPr>
            <w:r>
              <w:rPr>
                <w:sz w:val="15"/>
                <w:szCs w:val="15"/>
                <w:bdr w:val="none" w:color="auto" w:sz="0" w:space="0"/>
              </w:rPr>
              <w:t>谢鲲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375" w:lineRule="atLeast"/>
              <w:ind w:left="0" w:right="0" w:firstLine="420"/>
              <w:jc w:val="center"/>
              <w:rPr>
                <w:sz w:val="21"/>
                <w:szCs w:val="21"/>
              </w:rPr>
            </w:pPr>
            <w:r>
              <w:rPr>
                <w:sz w:val="15"/>
                <w:szCs w:val="15"/>
                <w:bdr w:val="none" w:color="auto" w:sz="0" w:space="0"/>
              </w:rPr>
              <w:t>Optimal  Resource Allocation for Reliable and Energy Efficient Cooperative  Communications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375" w:lineRule="atLeast"/>
              <w:ind w:left="0" w:right="0" w:firstLine="420"/>
              <w:jc w:val="center"/>
              <w:rPr>
                <w:sz w:val="21"/>
                <w:szCs w:val="21"/>
              </w:rPr>
            </w:pPr>
            <w:r>
              <w:rPr>
                <w:sz w:val="15"/>
                <w:szCs w:val="15"/>
                <w:bdr w:val="none" w:color="auto" w:sz="0" w:space="0"/>
              </w:rPr>
              <w:t>Kun  Xie, Jiannong Cao, Xin Wang, Jigang Wen</w:t>
            </w:r>
          </w:p>
        </w:tc>
        <w:tc>
          <w:tcPr>
            <w:tcW w:w="27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375" w:lineRule="atLeast"/>
              <w:ind w:left="0" w:right="0" w:firstLine="420"/>
              <w:jc w:val="center"/>
              <w:rPr>
                <w:sz w:val="21"/>
                <w:szCs w:val="21"/>
              </w:rPr>
            </w:pPr>
            <w:r>
              <w:rPr>
                <w:sz w:val="15"/>
                <w:szCs w:val="15"/>
                <w:bdr w:val="none" w:color="auto" w:sz="0" w:space="0"/>
              </w:rPr>
              <w:t>IEEE Transactions on Wireless Communications</w:t>
            </w:r>
          </w:p>
        </w:tc>
        <w:tc>
          <w:tcPr>
            <w:tcW w:w="63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375" w:lineRule="atLeast"/>
              <w:ind w:left="0" w:right="0" w:firstLine="420"/>
              <w:jc w:val="center"/>
              <w:rPr>
                <w:sz w:val="21"/>
                <w:szCs w:val="21"/>
              </w:rPr>
            </w:pPr>
            <w:r>
              <w:rPr>
                <w:sz w:val="15"/>
                <w:szCs w:val="15"/>
                <w:bdr w:val="none" w:color="auto" w:sz="0" w:space="0"/>
              </w:rPr>
              <w:t>12</w:t>
            </w:r>
          </w:p>
        </w:tc>
        <w:tc>
          <w:tcPr>
            <w:tcW w:w="78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50" w:afterAutospacing="0" w:line="375" w:lineRule="atLeast"/>
              <w:ind w:left="0" w:right="0" w:firstLine="420"/>
              <w:jc w:val="center"/>
              <w:rPr>
                <w:sz w:val="21"/>
                <w:szCs w:val="21"/>
              </w:rPr>
            </w:pPr>
            <w:r>
              <w:rPr>
                <w:sz w:val="15"/>
                <w:szCs w:val="15"/>
                <w:bdr w:val="none" w:color="auto" w:sz="0" w:space="0"/>
              </w:rPr>
              <w:t>2013,10</w:t>
            </w:r>
          </w:p>
        </w:tc>
        <w:tc>
          <w:tcPr>
            <w:tcW w:w="919" w:type="dxa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0AFF" w:usb1="40007843" w:usb2="00000001" w:usb3="00000000" w:csb0="400001BF" w:csb1="DFF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5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12380E"/>
    <w:rsid w:val="09123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Office_10.1.0.7106_F1E327BC-269C-435d-A152-05C5408002CA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2018-01-11T02:05:00Z</dcterms:created>
  <dc:creator>吳婷</dc:creator>
  <cp:lastModifiedBy>吳婷</cp:lastModifiedBy>
  <dcterms:modified xsi:type="dcterms:W3CDTF">2018-01-11T02:05:54Z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